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909638</wp:posOffset>
                </wp:positionH>
                <wp:positionV relativeFrom="page">
                  <wp:posOffset>1004888</wp:posOffset>
                </wp:positionV>
                <wp:extent cx="3514725" cy="1374991"/>
                <wp:effectExtent b="0" l="0" r="0" t="0"/>
                <wp:wrapNone/>
                <wp:docPr id="2" name=""/>
                <a:graphic>
                  <a:graphicData uri="http://schemas.microsoft.com/office/word/2010/wordprocessingShape">
                    <wps:wsp>
                      <wps:cNvSpPr/>
                      <wps:cNvPr id="3" name="Shape 3"/>
                      <wps:spPr>
                        <a:xfrm>
                          <a:off x="68200" y="-100950"/>
                          <a:ext cx="4314300" cy="1784100"/>
                        </a:xfrm>
                        <a:prstGeom prst="rect">
                          <a:avLst/>
                        </a:prstGeom>
                        <a:noFill/>
                        <a:ln>
                          <a:noFill/>
                        </a:ln>
                      </wps:spPr>
                      <wps:txbx>
                        <w:txbxContent>
                          <w:p w:rsidR="00000000" w:rsidDel="00000000" w:rsidP="00000000" w:rsidRDefault="00000000" w:rsidRPr="00000000">
                            <w:pPr>
                              <w:spacing w:after="120" w:before="120" w:line="319.9999237060547"/>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St Simon the Apostle Primary School</w:t>
                            </w:r>
                          </w:p>
                          <w:p w:rsidR="00000000" w:rsidDel="00000000" w:rsidP="00000000" w:rsidRDefault="00000000" w:rsidRPr="00000000">
                            <w:pPr>
                              <w:spacing w:after="120" w:before="120" w:line="319.9999809265137"/>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Requirements for Curriculum Provision, Assessment and Reporting to Parents/Guardians/</w:t>
                            </w:r>
                            <w:r w:rsidDel="00000000" w:rsidR="00000000" w:rsidRPr="00000000">
                              <w:rPr>
                                <w:rFonts w:ascii="Calibri" w:cs="Calibri" w:eastAsia="Calibri" w:hAnsi="Calibri"/>
                                <w:b w:val="1"/>
                                <w:i w:val="0"/>
                                <w:smallCaps w:val="0"/>
                                <w:strike w:val="0"/>
                                <w:color w:val="ffffff"/>
                                <w:sz w:val="28"/>
                                <w:vertAlign w:val="baseline"/>
                              </w:rPr>
                              <w:br w:type="textWrapping"/>
                            </w:r>
                            <w:r w:rsidDel="00000000" w:rsidR="00000000" w:rsidRPr="00000000">
                              <w:rPr>
                                <w:rFonts w:ascii="Calibri" w:cs="Calibri" w:eastAsia="Calibri" w:hAnsi="Calibri"/>
                                <w:b w:val="1"/>
                                <w:i w:val="0"/>
                                <w:smallCaps w:val="0"/>
                                <w:strike w:val="0"/>
                                <w:color w:val="ffffff"/>
                                <w:sz w:val="28"/>
                                <w:vertAlign w:val="baseline"/>
                              </w:rPr>
                              <w:t xml:space="preserve">Carers for MACS Schools</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909638</wp:posOffset>
                </wp:positionH>
                <wp:positionV relativeFrom="page">
                  <wp:posOffset>1004888</wp:posOffset>
                </wp:positionV>
                <wp:extent cx="3514725" cy="1374991"/>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514725" cy="1374991"/>
                        </a:xfrm>
                        <a:prstGeom prst="rect"/>
                        <a:ln/>
                      </pic:spPr>
                    </pic:pic>
                  </a:graphicData>
                </a:graphic>
              </wp:anchor>
            </w:drawing>
          </mc:Fallback>
        </mc:AlternateContent>
      </w:r>
      <w:r w:rsidDel="00000000" w:rsidR="00000000" w:rsidRPr="00000000">
        <w:rPr/>
        <w:drawing>
          <wp:inline distB="0" distT="0" distL="0" distR="0">
            <wp:extent cx="5612126" cy="99174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4772025</wp:posOffset>
                </wp:positionH>
                <wp:positionV relativeFrom="paragraph">
                  <wp:posOffset>428625</wp:posOffset>
                </wp:positionV>
                <wp:extent cx="811459" cy="811459"/>
                <wp:effectExtent b="0" l="0" r="0" t="0"/>
                <wp:wrapNone/>
                <wp:docPr id="3" name=""/>
                <a:graphic>
                  <a:graphicData uri="http://schemas.microsoft.com/office/word/2010/wordprocessingGroup">
                    <wpg:wgp>
                      <wpg:cNvGrpSpPr/>
                      <wpg:grpSpPr>
                        <a:xfrm>
                          <a:off x="152400" y="152400"/>
                          <a:ext cx="811459" cy="811459"/>
                          <a:chOff x="152400" y="152400"/>
                          <a:chExt cx="3048000" cy="3048000"/>
                        </a:xfrm>
                      </wpg:grpSpPr>
                      <pic:pic>
                        <pic:nvPicPr>
                          <pic:cNvPr descr="SS small Logo GooglePlus.jpg" id="4" name="Shape 4"/>
                          <pic:cNvPicPr preferRelativeResize="0"/>
                        </pic:nvPicPr>
                        <pic:blipFill>
                          <a:blip r:embed="rId8">
                            <a:alphaModFix/>
                          </a:blip>
                          <a:stretch>
                            <a:fillRect/>
                          </a:stretch>
                        </pic:blipFill>
                        <pic:spPr>
                          <a:xfrm>
                            <a:off x="152400" y="152400"/>
                            <a:ext cx="3048000" cy="3048000"/>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4772025</wp:posOffset>
                </wp:positionH>
                <wp:positionV relativeFrom="paragraph">
                  <wp:posOffset>428625</wp:posOffset>
                </wp:positionV>
                <wp:extent cx="811459" cy="811459"/>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11459" cy="811459"/>
                        </a:xfrm>
                        <a:prstGeom prst="rect"/>
                        <a:ln/>
                      </pic:spPr>
                    </pic:pic>
                  </a:graphicData>
                </a:graphic>
              </wp:anchor>
            </w:drawing>
          </mc:Fallback>
        </mc:AlternateContent>
      </w:r>
    </w:p>
    <w:p w:rsidR="00000000" w:rsidDel="00000000" w:rsidP="00000000" w:rsidRDefault="00000000" w:rsidRPr="00000000" w14:paraId="00000002">
      <w:pPr>
        <w:pStyle w:val="Heading2"/>
        <w:rPr/>
      </w:pPr>
      <w:bookmarkStart w:colFirst="0" w:colLast="0" w:name="_30j0zll" w:id="1"/>
      <w:bookmarkEnd w:id="1"/>
      <w:r w:rsidDel="00000000" w:rsidR="00000000" w:rsidRPr="00000000">
        <w:rPr>
          <w:rtl w:val="0"/>
        </w:rPr>
        <w:t xml:space="preserve">Curriculum plan</w:t>
      </w:r>
    </w:p>
    <w:tbl>
      <w:tblPr>
        <w:tblStyle w:val="Table1"/>
        <w:tblW w:w="8779.0" w:type="dxa"/>
        <w:jc w:val="left"/>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425"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03">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04">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0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implement (teach, assess and report on) the Victorian Curriculum</w:t>
            </w:r>
          </w:p>
          <w:p w:rsidR="00000000" w:rsidDel="00000000" w:rsidP="00000000" w:rsidRDefault="00000000" w:rsidRPr="00000000" w14:paraId="0000000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develop and implement a curriculum plan showing how the eight learning areas (as well as Religious Education) will be substantially addressed, and how the curriculum will be organised and implemented. Schools design how to substantially address the eight key learning areas, as well as Religious Education, across a two-year cycle to ensure coverage of the standards and the needs of their students</w:t>
            </w:r>
          </w:p>
          <w:p w:rsidR="00000000" w:rsidDel="00000000" w:rsidP="00000000" w:rsidRDefault="00000000" w:rsidRPr="00000000" w14:paraId="0000000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provide an explanation of how and when curriculum and teaching practice is reviewed.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eight learning areas are: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English</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Mathematics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Sciences (including Physics, Chemistry and Biology)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Humanities and Social Sciences (including History, Geography, Economics, Business, Civics and Citizenship)</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Arts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Languages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Health and Physical Education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Information and Communication Technology, and Design and Technology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together with:</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Religious Education.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resources in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education framework include statements on Vision, Context, Strategy and Practice.</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1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Victorian Curriculum F–10</w:t>
            </w:r>
          </w:p>
          <w:p w:rsidR="00000000" w:rsidDel="00000000" w:rsidP="00000000" w:rsidRDefault="00000000" w:rsidRPr="00000000" w14:paraId="0000001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Religious Education Curriculum Framework</w:t>
            </w:r>
          </w:p>
          <w:p w:rsidR="00000000" w:rsidDel="00000000" w:rsidP="00000000" w:rsidRDefault="00000000" w:rsidRPr="00000000" w14:paraId="0000001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Curriculum in a Catholic School</w:t>
            </w:r>
          </w:p>
          <w:p w:rsidR="00000000" w:rsidDel="00000000" w:rsidP="00000000" w:rsidRDefault="00000000" w:rsidRPr="00000000" w14:paraId="0000001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CECV Languages Strategy</w:t>
            </w:r>
          </w:p>
          <w:p w:rsidR="00000000" w:rsidDel="00000000" w:rsidP="00000000" w:rsidRDefault="00000000" w:rsidRPr="00000000" w14:paraId="0000001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Victorian literacy and numeracy progressions</w:t>
            </w:r>
          </w:p>
          <w:p w:rsidR="00000000" w:rsidDel="00000000" w:rsidP="00000000" w:rsidRDefault="00000000" w:rsidRPr="00000000" w14:paraId="0000001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STEM Strategy</w:t>
            </w:r>
          </w:p>
          <w:p w:rsidR="00000000" w:rsidDel="00000000" w:rsidP="00000000" w:rsidRDefault="00000000" w:rsidRPr="00000000" w14:paraId="0000001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Key Ideas in Mathematics</w:t>
            </w:r>
          </w:p>
          <w:p w:rsidR="00000000" w:rsidDel="00000000" w:rsidP="00000000" w:rsidRDefault="00000000" w:rsidRPr="00000000" w14:paraId="0000001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Learning Schema</w:t>
            </w:r>
          </w:p>
          <w:p w:rsidR="00000000" w:rsidDel="00000000" w:rsidP="00000000" w:rsidRDefault="00000000" w:rsidRPr="00000000" w14:paraId="0000001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Deep Learning Toolkit</w:t>
            </w:r>
          </w:p>
        </w:tc>
      </w:tr>
    </w:tbl>
    <w:p w:rsidR="00000000" w:rsidDel="00000000" w:rsidP="00000000" w:rsidRDefault="00000000" w:rsidRPr="00000000" w14:paraId="0000001D">
      <w:pPr>
        <w:rPr/>
      </w:pPr>
      <w:r w:rsidDel="00000000" w:rsidR="00000000" w:rsidRPr="00000000">
        <w:br w:type="page"/>
      </w:r>
      <w:r w:rsidDel="00000000" w:rsidR="00000000" w:rsidRPr="00000000">
        <w:rPr>
          <w:rtl w:val="0"/>
        </w:rPr>
      </w:r>
    </w:p>
    <w:tbl>
      <w:tblPr>
        <w:tblStyle w:val="Table2"/>
        <w:tblW w:w="8779.0" w:type="dxa"/>
        <w:jc w:val="left"/>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561" w:hRule="atLeast"/>
          <w:tblHeader w:val="0"/>
        </w:trPr>
        <w:tc>
          <w:tcPr>
            <w:gridSpan w:val="2"/>
            <w:tcBorders>
              <w:top w:color="000000" w:space="0" w:sz="0" w:val="nil"/>
              <w:left w:color="000000" w:space="0" w:sz="0" w:val="nil"/>
              <w:bottom w:color="a6a6a6" w:space="0" w:sz="4" w:val="single"/>
              <w:right w:color="000000" w:space="0" w:sz="0" w:val="nil"/>
            </w:tcBorders>
            <w:shd w:fill="auto" w:val="clear"/>
            <w:vAlign w:val="center"/>
          </w:tcPr>
          <w:p w:rsidR="00000000" w:rsidDel="00000000" w:rsidP="00000000" w:rsidRDefault="00000000" w:rsidRPr="00000000" w14:paraId="0000001E">
            <w:pPr>
              <w:pStyle w:val="Heading3"/>
              <w:rPr/>
            </w:pPr>
            <w:r w:rsidDel="00000000" w:rsidR="00000000" w:rsidRPr="00000000">
              <w:rPr>
                <w:rtl w:val="0"/>
              </w:rPr>
              <w:t xml:space="preserve">Differentiated learning</w:t>
            </w:r>
          </w:p>
        </w:tc>
      </w:tr>
      <w:tr>
        <w:trPr>
          <w:cantSplit w:val="0"/>
          <w:trHeight w:val="414"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20">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21">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2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use a whole-school approach to differentiated teaching and learning for all students, including:</w:t>
            </w:r>
          </w:p>
          <w:p w:rsidR="00000000" w:rsidDel="00000000" w:rsidP="00000000" w:rsidRDefault="00000000" w:rsidRPr="00000000" w14:paraId="00000023">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with disability</w:t>
            </w:r>
          </w:p>
          <w:p w:rsidR="00000000" w:rsidDel="00000000" w:rsidP="00000000" w:rsidRDefault="00000000" w:rsidRPr="00000000" w14:paraId="00000024">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gifted and talented students</w:t>
            </w:r>
          </w:p>
          <w:p w:rsidR="00000000" w:rsidDel="00000000" w:rsidP="00000000" w:rsidRDefault="00000000" w:rsidRPr="00000000" w14:paraId="00000025">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who are learning English as an additional language or dialect (EAL/D).</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2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smallCaps w:val="0"/>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Learning Diversity in a Catholic School</w:t>
            </w:r>
          </w:p>
          <w:p w:rsidR="00000000" w:rsidDel="00000000" w:rsidP="00000000" w:rsidRDefault="00000000" w:rsidRPr="00000000" w14:paraId="0000002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CECV Intervention Framework</w:t>
            </w:r>
          </w:p>
        </w:tc>
      </w:tr>
    </w:tbl>
    <w:p w:rsidR="00000000" w:rsidDel="00000000" w:rsidP="00000000" w:rsidRDefault="00000000" w:rsidRPr="00000000" w14:paraId="00000028">
      <w:pPr>
        <w:pStyle w:val="Heading3"/>
        <w:rPr/>
      </w:pPr>
      <w:r w:rsidDel="00000000" w:rsidR="00000000" w:rsidRPr="00000000">
        <w:rPr>
          <w:rtl w:val="0"/>
        </w:rPr>
        <w:t xml:space="preserve">Student learning</w:t>
      </w:r>
    </w:p>
    <w:tbl>
      <w:tblPr>
        <w:tblStyle w:val="Table3"/>
        <w:tblW w:w="8779.0" w:type="dxa"/>
        <w:jc w:val="left"/>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414"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29">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2A">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have appropriate processes in place to support all students to progress towards and achieve the learning outcomes normally expected for their student cohort, and to plan and achieve improvements in those learning outcomes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demonstrate planning for improved student learning outcomes, including:</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evidence of assessment schedules for all students (Note: Schools should have comprehensive assessment schedules in place prior to NAPLAN at Year 3 to identify students at risk.)</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evidence of using and reporting on national testing (NAPLAN) data, VCE/VCAL data and On Track data (for example, a data collection schedule, explanation of how the data is analysed, self-reflection reports, action plans)</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evidence of using student outcomes data to inform goal setting against the Victorian Curriculum and to design improvement strategies</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teacher professional learning that is informed by an analysis of student performance data. For example, a plan to improve student learning outcomes including what data (such as NAPLAN, VCE/VCAL) the school collects to monitor outcomes)</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how the school analyses and uses data to set goals and targets for outcomes, and to design improvement strategies, including students at risk</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development of Personalised Learning Plans, appropriate interventions or adjustments, and support groups to assist students who require additional support.</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improvement survey data</w:t>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data snapshots</w:t>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VCAA data service</w:t>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improvement framework</w:t>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smallCaps w:val="0"/>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Pedagogy in a Catholic School</w:t>
            </w:r>
          </w:p>
          <w:p w:rsidR="00000000" w:rsidDel="00000000" w:rsidP="00000000" w:rsidRDefault="00000000" w:rsidRPr="00000000" w14:paraId="0000003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Deep Learning Toolkit</w:t>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Improvement Plan</w:t>
            </w:r>
          </w:p>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Annual Action Plan</w:t>
            </w:r>
          </w:p>
          <w:p w:rsidR="00000000" w:rsidDel="00000000" w:rsidP="00000000" w:rsidRDefault="00000000" w:rsidRPr="00000000" w14:paraId="0000003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smallCaps w:val="0"/>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Leadership in a Catholic School</w:t>
            </w:r>
          </w:p>
          <w:p w:rsidR="00000000" w:rsidDel="00000000" w:rsidP="00000000" w:rsidRDefault="00000000" w:rsidRPr="00000000" w14:paraId="0000003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Victorian Curriculum F–10</w:t>
            </w:r>
          </w:p>
          <w:p w:rsidR="00000000" w:rsidDel="00000000" w:rsidP="00000000" w:rsidRDefault="00000000" w:rsidRPr="00000000" w14:paraId="0000003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Teacher professional learning (PL) – in-school PL; PL offered and/or sponsored by MACS; PL delivered by the VCAA</w:t>
            </w:r>
          </w:p>
        </w:tc>
      </w:tr>
    </w:tbl>
    <w:p w:rsidR="00000000" w:rsidDel="00000000" w:rsidP="00000000" w:rsidRDefault="00000000" w:rsidRPr="00000000" w14:paraId="0000003E">
      <w:pPr>
        <w:pStyle w:val="Heading3"/>
        <w:spacing w:after="120" w:lineRule="auto"/>
        <w:rPr/>
      </w:pPr>
      <w:r w:rsidDel="00000000" w:rsidR="00000000" w:rsidRPr="00000000">
        <w:rPr>
          <w:rtl w:val="0"/>
        </w:rPr>
        <w:t xml:space="preserve">Assessment</w:t>
      </w:r>
    </w:p>
    <w:tbl>
      <w:tblPr>
        <w:tblStyle w:val="Table4"/>
        <w:tblW w:w="8779.0" w:type="dxa"/>
        <w:jc w:val="left"/>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414"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3F">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40">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Teachers are required to assess and monitor student growth, learning progress and achievement against the curriculum standards, and within the learning and teaching program in their school.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reporting practices play important roles in the development of the learning culture within a Catholic school. Assessment is a means for leaders, teachers and students to learn alongside one another, in affirming progress and meeting regulatory responsibilities to engage authentically with students and families to identify student learning progress, and opportunities for further growth and development.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every Catholic school, there is the goal of the full flourishing of each student across religious, physical, cognitive, social and emotional domains. This multi-dimensional approach to assessment of learning respects the sacred dignity of the learner, and engenders a sense of being valued and understood.</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Assessment in a Catholic School</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Victorian Curriculum F–10</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Learning Diversity in a Catholic School</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Wellbeing in a Catholic School</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NAPLAN</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testing regimes</w:t>
            </w:r>
          </w:p>
        </w:tc>
      </w:tr>
      <w:tr>
        <w:trPr>
          <w:cantSplit w:val="0"/>
          <w:trHeight w:val="536" w:hRule="atLeast"/>
          <w:tblHeader w:val="0"/>
        </w:trPr>
        <w:tc>
          <w:tcPr>
            <w:gridSpan w:val="2"/>
            <w:tcBorders>
              <w:top w:color="a6a6a6"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A">
            <w:pPr>
              <w:pStyle w:val="Heading4"/>
              <w:rPr/>
            </w:pPr>
            <w:r w:rsidDel="00000000" w:rsidR="00000000" w:rsidRPr="00000000">
              <w:rPr>
                <w:rtl w:val="0"/>
              </w:rPr>
              <w:t xml:space="preserve">Assessment principles</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identifies the following principles for assessment in Catholic schools: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1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Focused on growth:</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reporting will be relevant and timely to each learner.</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understand their learning progress.</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receive feedback about their challenges while forming and valuing positive attitudes towards learning.</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Educators critically question the impact of their decisions on student learning.</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Feedback is integral to the learning process, enabling students to self-regulate, self-assess and reflect on their own learning.</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1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Relational:</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reporting will provide a strong foundation for authentic dialogue about learning progress between teachers, students and families.</w:t>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and teachers are both partners in the learning as the teacher constantly shapes and evolves their practice and pedagogy, while the student perseveres and progresses in response to evidence uncovered and timely feedback.</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1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Ongoing and continuous:</w:t>
            </w:r>
          </w:p>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Teachers are alert to the needs of students, founded on their knowledge of each student’s narrative.</w:t>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feedback and data-gathering techniques are authentic, varied and diverse.</w:t>
            </w:r>
          </w:p>
          <w:p w:rsidR="00000000" w:rsidDel="00000000" w:rsidP="00000000" w:rsidRDefault="00000000" w:rsidRPr="00000000" w14:paraId="0000005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of learning is continuous, allowing students to demonstrate their progress and flourish.</w:t>
            </w:r>
          </w:p>
          <w:p w:rsidR="00000000" w:rsidDel="00000000" w:rsidP="00000000" w:rsidRDefault="00000000" w:rsidRPr="00000000" w14:paraId="0000005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60" w:right="0" w:hanging="360"/>
              <w:jc w:val="left"/>
              <w:rPr>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Feedback is continuous, accurate and forward-focused.</w:t>
            </w:r>
          </w:p>
        </w:tc>
      </w:tr>
    </w:tbl>
    <w:p w:rsidR="00000000" w:rsidDel="00000000" w:rsidP="00000000" w:rsidRDefault="00000000" w:rsidRPr="00000000" w14:paraId="0000005C">
      <w:pPr>
        <w:pStyle w:val="Heading3"/>
        <w:spacing w:after="60" w:lineRule="auto"/>
        <w:rPr/>
      </w:pPr>
      <w:r w:rsidDel="00000000" w:rsidR="00000000" w:rsidRPr="00000000">
        <w:rPr>
          <w:rtl w:val="0"/>
        </w:rPr>
        <w:t xml:space="preserve">Monitoring and reporting on students’ performance</w:t>
      </w:r>
    </w:p>
    <w:tbl>
      <w:tblPr>
        <w:tblStyle w:val="Table5"/>
        <w:tblW w:w="8779.0" w:type="dxa"/>
        <w:jc w:val="left"/>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414"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5D">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5E">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5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provide evidence in the form of the school's policies and procedures for assessing and monitoring student progress and achievement, and how this is reported to parents and guardians</w:t>
            </w:r>
          </w:p>
          <w:p w:rsidR="00000000" w:rsidDel="00000000" w:rsidP="00000000" w:rsidRDefault="00000000" w:rsidRPr="00000000" w14:paraId="0000006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undertake ongoing assessment, monitoring and recording of all students’ performance and to report on performance, in writing, to parents and guardians at least twice a year</w:t>
            </w:r>
          </w:p>
          <w:p w:rsidR="00000000" w:rsidDel="00000000" w:rsidP="00000000" w:rsidRDefault="00000000" w:rsidRPr="00000000" w14:paraId="0000006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include reporting on student achievement against the relevant standards as outlined in the Victorian Curriculum and/or other curriculum frameworks.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addition to written reports, it is strongly advised that parents and guardians be provided with opportunities to discuss their child’s progress with the school.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1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Review of assessment and reporting practices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school must document the processes used to review practices for assessment and reporting. This information includes the ways in which data about student learning progress from a variety of sources is analysed to improve student growth and learning progress, and to guide learning and teaching programs.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Schools must have policies and procedures in place to:</w:t>
            </w:r>
          </w:p>
          <w:p w:rsidR="00000000" w:rsidDel="00000000" w:rsidP="00000000" w:rsidRDefault="00000000" w:rsidRPr="00000000" w14:paraId="00000066">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maintain accurate student records</w:t>
            </w:r>
          </w:p>
          <w:p w:rsidR="00000000" w:rsidDel="00000000" w:rsidP="00000000" w:rsidRDefault="00000000" w:rsidRPr="00000000" w14:paraId="00000067">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ensure the integrity of student assessments</w:t>
            </w:r>
          </w:p>
          <w:p w:rsidR="00000000" w:rsidDel="00000000" w:rsidP="00000000" w:rsidRDefault="00000000" w:rsidRPr="00000000" w14:paraId="00000068">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monitor student participation, completion rates and outcomes.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policies and procedures must cover the analysis of results and student participation.</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6A">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Reporting Student Progress and Achievement: 2021 Revised Guidelines for Victorian Catholic Schools</w:t>
            </w:r>
          </w:p>
          <w:p w:rsidR="00000000" w:rsidDel="00000000" w:rsidP="00000000" w:rsidRDefault="00000000" w:rsidRPr="00000000" w14:paraId="0000006B">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ICON – ePlan</w:t>
            </w:r>
          </w:p>
        </w:tc>
      </w:tr>
    </w:tbl>
    <w:p w:rsidR="00000000" w:rsidDel="00000000" w:rsidP="00000000" w:rsidRDefault="00000000" w:rsidRPr="00000000" w14:paraId="0000006C">
      <w:pPr>
        <w:rPr/>
      </w:pPr>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3"/>
        <w:spacing w:after="60" w:lineRule="auto"/>
        <w:rPr>
          <w:rFonts w:ascii="Calibri" w:cs="Calibri" w:eastAsia="Calibri" w:hAnsi="Calibri"/>
        </w:rPr>
      </w:pPr>
      <w:r w:rsidDel="00000000" w:rsidR="00000000" w:rsidRPr="00000000">
        <w:rPr>
          <w:rtl w:val="0"/>
        </w:rPr>
        <w:t xml:space="preserve">School performance</w:t>
      </w:r>
      <w:r w:rsidDel="00000000" w:rsidR="00000000" w:rsidRPr="00000000">
        <w:rPr>
          <w:rtl w:val="0"/>
        </w:rPr>
      </w:r>
    </w:p>
    <w:tbl>
      <w:tblPr>
        <w:tblStyle w:val="Table6"/>
        <w:tblW w:w="8779.0" w:type="dxa"/>
        <w:jc w:val="left"/>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414"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6E">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6F">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7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monitor and report to the school community on performance at least once per year</w:t>
            </w:r>
          </w:p>
          <w:p w:rsidR="00000000" w:rsidDel="00000000" w:rsidP="00000000" w:rsidRDefault="00000000" w:rsidRPr="00000000" w14:paraId="00000071">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include a description and analysis of learning outcomes achieved by their students in statewide tests and examinations in which the school participates for:</w:t>
            </w:r>
          </w:p>
          <w:p w:rsidR="00000000" w:rsidDel="00000000" w:rsidP="00000000" w:rsidRDefault="00000000" w:rsidRPr="00000000" w14:paraId="00000072">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72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current year</w:t>
            </w:r>
          </w:p>
          <w:p w:rsidR="00000000" w:rsidDel="00000000" w:rsidP="00000000" w:rsidRDefault="00000000" w:rsidRPr="00000000" w14:paraId="00000073">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72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previous two years if the school has been established for more than two years</w:t>
            </w:r>
          </w:p>
          <w:p w:rsidR="00000000" w:rsidDel="00000000" w:rsidP="00000000" w:rsidRDefault="00000000" w:rsidRPr="00000000" w14:paraId="00000074">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include a description and analysis of rates of student attendance for the year.</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75">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surveys data</w:t>
            </w:r>
          </w:p>
          <w:p w:rsidR="00000000" w:rsidDel="00000000" w:rsidP="00000000" w:rsidRDefault="00000000" w:rsidRPr="00000000" w14:paraId="00000076">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School Improvement Framework (SIF) Rubric</w:t>
            </w:r>
          </w:p>
          <w:p w:rsidR="00000000" w:rsidDel="00000000" w:rsidP="00000000" w:rsidRDefault="00000000" w:rsidRPr="00000000" w14:paraId="00000077">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improvement framework</w:t>
            </w:r>
          </w:p>
          <w:p w:rsidR="00000000" w:rsidDel="00000000" w:rsidP="00000000" w:rsidRDefault="00000000" w:rsidRPr="00000000" w14:paraId="00000078">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data snapshots</w:t>
            </w:r>
          </w:p>
          <w:p w:rsidR="00000000" w:rsidDel="00000000" w:rsidP="00000000" w:rsidRDefault="00000000" w:rsidRPr="00000000" w14:paraId="00000079">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ICON – ePlan</w:t>
            </w:r>
          </w:p>
        </w:tc>
      </w:tr>
    </w:tbl>
    <w:p w:rsidR="00000000" w:rsidDel="00000000" w:rsidP="00000000" w:rsidRDefault="00000000" w:rsidRPr="00000000" w14:paraId="0000007A">
      <w:pPr>
        <w:pStyle w:val="Heading3"/>
        <w:rPr/>
      </w:pPr>
      <w:r w:rsidDel="00000000" w:rsidR="00000000" w:rsidRPr="00000000">
        <w:rPr>
          <w:rtl w:val="0"/>
        </w:rPr>
        <w:t xml:space="preserve">Curriculum – specific requirements</w:t>
      </w:r>
    </w:p>
    <w:p w:rsidR="00000000" w:rsidDel="00000000" w:rsidP="00000000" w:rsidRDefault="00000000" w:rsidRPr="00000000" w14:paraId="0000007B">
      <w:pPr>
        <w:pStyle w:val="Heading4"/>
        <w:rPr/>
      </w:pPr>
      <w:r w:rsidDel="00000000" w:rsidR="00000000" w:rsidRPr="00000000">
        <w:rPr>
          <w:rtl w:val="0"/>
        </w:rPr>
        <w:t xml:space="preserve">Senior secondary education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schools delivering senior secondary courses to students are required to follow the requirements and regulations set out by the Victorian Curriculum and Assessment Authority (VCAA). This applies to the Victorian Certificate of Education (VCE), the Victorian Certificate of Applied Learning (VCAL) and Vocational Education and Training (VET). Any MACS school offering other approved curriculum frameworks, such as the International Baccalaureate (IB), is required to follow the regulations set out by the governing curriculum authority.</w:t>
      </w:r>
    </w:p>
    <w:p w:rsidR="00000000" w:rsidDel="00000000" w:rsidP="00000000" w:rsidRDefault="00000000" w:rsidRPr="00000000" w14:paraId="0000007D">
      <w:pPr>
        <w:pStyle w:val="Heading4"/>
        <w:rPr/>
      </w:pPr>
      <w:r w:rsidDel="00000000" w:rsidR="00000000" w:rsidRPr="00000000">
        <w:rPr>
          <w:rtl w:val="0"/>
        </w:rPr>
        <w:t xml:space="preserve">Victorian Certificate of Education (VCE)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VCE is a senior secondary certificate of education recognised within the Australian Qualifications Framework (AQF). It is designed to be completed over a minimum of two years, and includes general education curriculum components (VCE studies) and programs from VET qualifications. The minimum requirement for satisfactory completion of the VCE is the satisfactory completion of 16 units which must include:</w:t>
      </w:r>
    </w:p>
    <w:p w:rsidR="00000000" w:rsidDel="00000000" w:rsidP="00000000" w:rsidRDefault="00000000" w:rsidRPr="00000000" w14:paraId="0000007F">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three units from the English group, including a Unit 3–4 sequence</w:t>
      </w:r>
    </w:p>
    <w:p w:rsidR="00000000" w:rsidDel="00000000" w:rsidP="00000000" w:rsidRDefault="00000000" w:rsidRPr="00000000" w14:paraId="00000080">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least three other sequences of Unit 3–4 studies, which can include further sequences from the English group.</w:t>
      </w:r>
    </w:p>
    <w:p w:rsidR="00000000" w:rsidDel="00000000" w:rsidP="00000000" w:rsidRDefault="00000000" w:rsidRPr="00000000" w14:paraId="00000081">
      <w:pPr>
        <w:pStyle w:val="Heading4"/>
        <w:rPr/>
      </w:pPr>
      <w:r w:rsidDel="00000000" w:rsidR="00000000" w:rsidRPr="00000000">
        <w:rPr>
          <w:rtl w:val="0"/>
        </w:rPr>
        <w:t xml:space="preserve">Victorian Certificate of Applied Learning (VCAL)</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VCAL is a senior secondary certificate of education recognised within the AQF. The VCAL can include components of accredited VET, including Further Education (FE) qualifications from within the AQF, and VCE studies. The VCAL is accredited and issued at three award levels. VET is a compulsory requirement for completion of VCAL at Intermediate and Senior levels. To be awarded any VCAL qualification, students must successfully complete a learning program that contains a minimum of 10 credits and includes:</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curriculum components that can be justified against the purpose statement for the Literacy and Numeracy Skills strand: one credit is required for Literacy Skills and one credit is required for Numeracy Skills</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curriculum components to the value of at least one credit that can be justified against the purpose statement for each of the Work Related Skills strand, Personal Development Skills strand and Industry Specific Skills strand</w:t>
      </w:r>
    </w:p>
    <w:p w:rsidR="00000000" w:rsidDel="00000000" w:rsidP="00000000" w:rsidRDefault="00000000" w:rsidRPr="00000000" w14:paraId="00000085">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minimum of two VCAL units, one must be a VCAL Personal Development Skills unit at level</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curriculum components to the value of six credits at the level of the VCAL award or above: one of which must be for Literacy Skills.</w:t>
      </w:r>
    </w:p>
    <w:p w:rsidR="00000000" w:rsidDel="00000000" w:rsidP="00000000" w:rsidRDefault="00000000" w:rsidRPr="00000000" w14:paraId="00000087">
      <w:pPr>
        <w:pStyle w:val="Heading4"/>
        <w:rPr/>
      </w:pPr>
      <w:r w:rsidDel="00000000" w:rsidR="00000000" w:rsidRPr="00000000">
        <w:rPr>
          <w:rtl w:val="0"/>
        </w:rPr>
        <w:t xml:space="preserve">Vocational Education and Training (VET)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Recognition of VET, including FE within the VCE and VCAL, ensures that students who complete all or part of a nationally recognised VET (including FE) qualification may receive credit towards satisfactory completion of the VCE or VCAL. Students would typically undertake training at Certificate II or III level. MACS schools are required to have appropriate courses, assessment, reporting and administrative processes in place to ensure students undertaking a VCE or VCAL program, and/or VET courses, have access to the necessary teaching and learning programs. The VCAA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VCE and VCAL Administrative Handbook</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and the specific VCE study designs and/or VCAL curriculum guides and/or VET modules set out these requirements for all schools.</w:t>
      </w:r>
    </w:p>
    <w:p w:rsidR="00000000" w:rsidDel="00000000" w:rsidP="00000000" w:rsidRDefault="00000000" w:rsidRPr="00000000" w14:paraId="00000089">
      <w:pPr>
        <w:pStyle w:val="Heading4"/>
        <w:rPr/>
      </w:pPr>
      <w:r w:rsidDel="00000000" w:rsidR="00000000" w:rsidRPr="00000000">
        <w:rPr>
          <w:rtl w:val="0"/>
        </w:rPr>
        <w:t xml:space="preserve">Senior secondary – student records and results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schools must have policies and procedures in place to ensure the integrity of assessment, the accuracy of records and the monitoring of student participation, completion rates and outcomes. In accordance with the requirements of the VCAA, MACS schools are required to monitor patterns of student participation and completion rates, and the quality of the outcomes of students. An annual analysis of student participation, completion rates and outcomes is made publicly available through the Annual Report to the School Community.</w:t>
      </w:r>
    </w:p>
    <w:p w:rsidR="00000000" w:rsidDel="00000000" w:rsidP="00000000" w:rsidRDefault="00000000" w:rsidRPr="00000000" w14:paraId="0000008B">
      <w:pPr>
        <w:pStyle w:val="Heading3"/>
        <w:rPr/>
      </w:pPr>
      <w:r w:rsidDel="00000000" w:rsidR="00000000" w:rsidRPr="00000000">
        <w:rPr>
          <w:rtl w:val="0"/>
        </w:rPr>
        <w:t xml:space="preserve">Curriculum – system improvement processes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implements a number of procedures and strategies to monitor school and student performance:</w:t>
      </w:r>
    </w:p>
    <w:p w:rsidR="00000000" w:rsidDel="00000000" w:rsidP="00000000" w:rsidRDefault="00000000" w:rsidRPr="00000000" w14:paraId="0000008D">
      <w:pPr>
        <w:pStyle w:val="Heading4"/>
        <w:rPr/>
      </w:pPr>
      <w:r w:rsidDel="00000000" w:rsidR="00000000" w:rsidRPr="00000000">
        <w:rPr>
          <w:rtl w:val="0"/>
        </w:rPr>
        <w:t xml:space="preserve">School data snapshots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provides every school with a summary of their school performance data each year in November via the School Data Snapshot (SDS). The SDS is constructed around five aspirations:</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MACS schools are distinctively Catholic.</w:t>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MACS schools demonstrate leading practices for teaching, learning and student wellbeing.</w:t>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MACS schools are strong academic performers.</w:t>
      </w:r>
    </w:p>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MACS schools are financially prudent.</w:t>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MACS schools are inclusive, engage families and appeal to families.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24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system provides targeted data for each school under these five aspirations, as well as providing like-school comparisons. The SDS assists schools to track and monitor their performance against state, system and similar school averages, as well as supporting the system to identify areas of challenge and to mobilise system resources for those schools in risk categories.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24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also develops heatmaps for each region which classify schools into categories of performance and form the basis of annual regional reviews.</w:t>
      </w:r>
    </w:p>
    <w:p w:rsidR="00000000" w:rsidDel="00000000" w:rsidP="00000000" w:rsidRDefault="00000000" w:rsidRPr="00000000" w14:paraId="00000096">
      <w:pPr>
        <w:pStyle w:val="Heading4"/>
        <w:rPr/>
      </w:pPr>
      <w:r w:rsidDel="00000000" w:rsidR="00000000" w:rsidRPr="00000000">
        <w:rPr>
          <w:rtl w:val="0"/>
        </w:rPr>
        <w:t xml:space="preserve">Annual regional performance reviews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conducts annual regional reviews of school performance using the SDS and regional heatmaps:</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000"/>
        </w:tabs>
        <w:spacing w:after="120" w:before="24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Regional Performance Review (RPR) is a forum where senior leaders at MACS, including Learning Services Unit Managers and Regional General Managers, have a deep and structured conversation about performance using a range of quality datasets including the SDS.</w:t>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Regional operations are at the centre of the connections with schools.</w:t>
      </w:r>
    </w:p>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Like the improvement cycle that underpins the school improvement framework for schools, the RPR applies the same rigour in identifying and prioritising where improvement action is required.</w:t>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Targeted discussion is based on data and relevant evidence to enable forward-looking decisions to be made.</w:t>
      </w:r>
    </w:p>
    <w:p w:rsidR="00000000" w:rsidDel="00000000" w:rsidP="00000000" w:rsidRDefault="00000000" w:rsidRPr="00000000" w14:paraId="0000009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structure of the review takes the form of inquiry questions and discussions to better understand performance issues, to identify potential barriers and enablers, and to agree on actions.</w:t>
      </w:r>
    </w:p>
    <w:p w:rsidR="00000000" w:rsidDel="00000000" w:rsidP="00000000" w:rsidRDefault="00000000" w:rsidRPr="00000000" w14:paraId="0000009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RPR is more than performance measurement – it aims to optimise success; providing the key evidence needed so that action can be taken where and when it is needed most.</w:t>
      </w:r>
    </w:p>
    <w:sectPr>
      <w:footerReference r:id="rId10" w:type="default"/>
      <w:footerReference r:id="rId11"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b w:val="1"/>
        <w:color w:val="595959"/>
        <w:sz w:val="16"/>
        <w:szCs w:val="16"/>
        <w:rtl w:val="0"/>
      </w:rPr>
      <w:t xml:space="preserve">St Simon the Apostle Primary School</w:t>
    </w:r>
    <w:r w:rsidDel="00000000" w:rsidR="00000000" w:rsidRPr="00000000">
      <w:rPr>
        <w:color w:val="595959"/>
        <w:sz w:val="16"/>
        <w:szCs w:val="16"/>
        <w:rtl w:val="0"/>
      </w:rPr>
      <w:t xml:space="preserve">| Draft | 24 June 2021</w:t>
      <w:tab/>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trike w:val="0"/>
        <w:color w:val="000000"/>
        <w:sz w:val="21"/>
        <w:szCs w:val="21"/>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b w:val="0"/>
        <w:i w:val="0"/>
        <w:strike w:val="0"/>
        <w:color w:val="595959"/>
        <w:sz w:val="21"/>
        <w:szCs w:val="21"/>
        <w:u w:val="none"/>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b w:val="0"/>
        <w:i w:val="0"/>
        <w:strike w:val="0"/>
        <w:color w:val="595959"/>
        <w:sz w:val="21"/>
        <w:szCs w:val="21"/>
        <w:u w:val="none"/>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b w:val="0"/>
        <w:i w:val="0"/>
        <w:strike w:val="0"/>
        <w:color w:val="595959"/>
        <w:sz w:val="21"/>
        <w:szCs w:val="21"/>
        <w:u w:val="none"/>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b w:val="0"/>
        <w:i w:val="0"/>
        <w:strike w:val="0"/>
        <w:color w:val="595959"/>
        <w:sz w:val="21"/>
        <w:szCs w:val="21"/>
        <w:u w:val="none"/>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2019"/>
      <w:numFmt w:val="bullet"/>
      <w:lvlText w:val="•"/>
      <w:lvlJc w:val="left"/>
      <w:pPr>
        <w:ind w:left="1800" w:hanging="72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b w:val="1"/>
      <w:color w:val="585858"/>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Subtitle">
    <w:name w:val="Subtitle"/>
    <w:basedOn w:val="Normal"/>
    <w:next w:val="Normal"/>
    <w:pPr/>
    <w:rPr>
      <w:sz w:val="36"/>
      <w:szCs w:val="36"/>
    </w:rPr>
  </w:style>
  <w:style w:type="table" w:styleId="Table1">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 w:type="table" w:styleId="Table2">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 w:type="table" w:styleId="Table3">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 w:type="table" w:styleId="Table4">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 w:type="table" w:styleId="Table5">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 w:type="table" w:styleId="Table6">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